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54" w:rsidRDefault="00863DB5" w:rsidP="00B97054">
      <w:pPr>
        <w:shd w:val="clear" w:color="auto" w:fill="FFFFFF"/>
        <w:spacing w:after="225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  <w:bookmarkStart w:id="0" w:name="_GoBack"/>
      <w:r w:rsidRPr="00B97054">
        <w:rPr>
          <w:sz w:val="24"/>
          <w:szCs w:val="24"/>
        </w:rPr>
        <w:t>Oggi sul nostro Blog parliamo di scale professionali. Vogliamo scrivere un articolo che dia una idea del mondo delle scale professionali, che noi di LD Ferramenta, abbiamo tra i nostri prodotti. In oltre 30 anni di attività abbiamo ormai una certa esperienza del settore. Settore che ampliamo sempre di più per offrire alla nostra affezionata clientela prodotti all’</w:t>
      </w:r>
      <w:r w:rsidR="00B97054" w:rsidRPr="00B97054">
        <w:rPr>
          <w:sz w:val="24"/>
          <w:szCs w:val="24"/>
        </w:rPr>
        <w:t>avanguardia, innovativi e soprattutto sicuri</w:t>
      </w:r>
      <w:r w:rsidR="00B97054">
        <w:t>.</w:t>
      </w:r>
      <w:r w:rsidR="00B97054">
        <w:rPr>
          <w:rFonts w:ascii="Helvetica" w:eastAsia="Times New Roman" w:hAnsi="Helvetica" w:cs="Helvetica"/>
          <w:noProof/>
          <w:color w:val="E00819"/>
          <w:sz w:val="24"/>
          <w:szCs w:val="24"/>
          <w:lang w:eastAsia="it-IT"/>
        </w:rPr>
        <w:t xml:space="preserve"> </w:t>
      </w:r>
      <w:r w:rsidR="00B97054" w:rsidRPr="00B97054">
        <w:rPr>
          <w:rFonts w:eastAsia="Times New Roman" w:cstheme="minorHAnsi"/>
          <w:noProof/>
          <w:sz w:val="24"/>
          <w:szCs w:val="24"/>
          <w:lang w:eastAsia="it-IT"/>
        </w:rPr>
        <w:t>La nostra mission</w:t>
      </w:r>
      <w:r w:rsidR="00B97054">
        <w:rPr>
          <w:rFonts w:eastAsia="Times New Roman" w:cstheme="minorHAnsi"/>
          <w:noProof/>
          <w:sz w:val="24"/>
          <w:szCs w:val="24"/>
          <w:lang w:eastAsia="it-IT"/>
        </w:rPr>
        <w:t xml:space="preserve"> è quella di offrire ai nostri clienti nonché professionisti, prodotti che rispondano alle loro reali esigenze in termini di sicurezza e funzionalità. Le scale, anche se non appare evidente, sono un prodotto di cui prima o poi tutti ne hanno bisogno. Per questo noi stiamo molto attenti ai feed back dei nostri artigiani. Che siano imbianchini, muratori, elettricisti o altro, a noi interessa sempre sapere cosa pensano del prodotto. Questo per fornire prodotti all’avanguardia e soprattutto funzionali.</w:t>
      </w:r>
    </w:p>
    <w:p w:rsidR="007552FD" w:rsidRDefault="007552FD" w:rsidP="00B97054">
      <w:pPr>
        <w:shd w:val="clear" w:color="auto" w:fill="FFFFFF"/>
        <w:spacing w:after="225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  <w:r>
        <w:rPr>
          <w:rFonts w:eastAsia="Times New Roman" w:cstheme="minorHAnsi"/>
          <w:noProof/>
          <w:sz w:val="24"/>
          <w:szCs w:val="24"/>
          <w:lang w:eastAsia="it-IT"/>
        </w:rPr>
        <w:t>Negli ultimi anni, il mercato delle scale si è molto evoluto, e anche i cosiddetti hobbisti hanno ormai delle esigenze che si avvicinano molto ai professionals. Questo perché il WEB permette di fare ricerche e raffronti, per cui “nulla può sfuggire”.</w:t>
      </w:r>
      <w:r w:rsidR="00AA308F">
        <w:rPr>
          <w:rFonts w:eastAsia="Times New Roman" w:cstheme="minorHAnsi"/>
          <w:noProof/>
          <w:sz w:val="24"/>
          <w:szCs w:val="24"/>
          <w:lang w:eastAsia="it-IT"/>
        </w:rPr>
        <w:t xml:space="preserve"> Comunque prima di scegliere una scala occorre fare importanti consi</w:t>
      </w:r>
      <w:r w:rsidR="00885493">
        <w:rPr>
          <w:rFonts w:eastAsia="Times New Roman" w:cstheme="minorHAnsi"/>
          <w:noProof/>
          <w:sz w:val="24"/>
          <w:szCs w:val="24"/>
          <w:lang w:eastAsia="it-IT"/>
        </w:rPr>
        <w:t>derazioni. Per esempio se ne fac</w:t>
      </w:r>
      <w:r w:rsidR="00AA308F">
        <w:rPr>
          <w:rFonts w:eastAsia="Times New Roman" w:cstheme="minorHAnsi"/>
          <w:noProof/>
          <w:sz w:val="24"/>
          <w:szCs w:val="24"/>
          <w:lang w:eastAsia="it-IT"/>
        </w:rPr>
        <w:t>ciamo un utilizzo saltuario o continuativo. Oppure quale materiale prediligiamo. Importante è l’ambiente di lavoro se interno o esterno. E non dimentichiamo l’altezza che si deve raggiungere, forse l’elemento più importante.</w:t>
      </w:r>
    </w:p>
    <w:p w:rsidR="000B1620" w:rsidRPr="000B1620" w:rsidRDefault="00885493" w:rsidP="000B1620">
      <w:pPr>
        <w:rPr>
          <w:rFonts w:cstheme="minorHAnsi"/>
          <w:sz w:val="24"/>
          <w:szCs w:val="24"/>
        </w:rPr>
      </w:pPr>
      <w:r w:rsidRPr="005D66F5">
        <w:rPr>
          <w:rFonts w:eastAsia="Times New Roman" w:cstheme="minorHAnsi"/>
          <w:color w:val="232323"/>
          <w:sz w:val="24"/>
          <w:szCs w:val="24"/>
          <w:lang w:eastAsia="it-IT"/>
        </w:rPr>
        <w:t>Infatti non dobbiamo dimenticare che le scale e anche i trabattelli sono potenzialmente pericolosi.</w:t>
      </w:r>
      <w:r w:rsidRPr="005D66F5">
        <w:rPr>
          <w:rFonts w:eastAsia="Times New Roman" w:cstheme="minorHAnsi"/>
          <w:color w:val="232323"/>
          <w:sz w:val="24"/>
          <w:szCs w:val="24"/>
          <w:lang w:eastAsia="it-IT"/>
        </w:rPr>
        <w:t xml:space="preserve"> </w:t>
      </w:r>
      <w:r w:rsidRPr="005D66F5">
        <w:rPr>
          <w:rFonts w:eastAsia="Times New Roman" w:cstheme="minorHAnsi"/>
          <w:color w:val="232323"/>
          <w:sz w:val="24"/>
          <w:szCs w:val="24"/>
          <w:lang w:eastAsia="it-IT"/>
        </w:rPr>
        <w:t xml:space="preserve">Per questo motivo noi ci affidiamo a una azienda italiana che investe molto sulla qualità, partendo dalle materie prime per arrivare al prodotto finito. </w:t>
      </w:r>
      <w:r w:rsidRPr="005D66F5">
        <w:rPr>
          <w:rFonts w:eastAsia="Times New Roman" w:cstheme="minorHAnsi"/>
          <w:sz w:val="24"/>
          <w:szCs w:val="24"/>
          <w:lang w:eastAsia="it-IT"/>
        </w:rPr>
        <w:t xml:space="preserve">Parliamo di </w:t>
      </w:r>
      <w:r w:rsidRPr="005D66F5">
        <w:rPr>
          <w:rFonts w:cstheme="minorHAnsi"/>
          <w:sz w:val="24"/>
          <w:szCs w:val="24"/>
          <w:shd w:val="clear" w:color="auto" w:fill="FFFFFF"/>
        </w:rPr>
        <w:t xml:space="preserve">FACAL, una </w:t>
      </w:r>
      <w:r w:rsidRPr="005D66F5">
        <w:rPr>
          <w:rFonts w:cstheme="minorHAnsi"/>
          <w:sz w:val="24"/>
          <w:szCs w:val="24"/>
          <w:shd w:val="clear" w:color="auto" w:fill="FFFFFF"/>
        </w:rPr>
        <w:t>azienda manifatturiera italiana, a guida della famiglia fondatrice, specializzata nella costruzione di prodotti per l’accesso in altezza quali scale, trabattelli, sgabelli, rampe di carico, passerelle ed altro ancora.</w:t>
      </w:r>
      <w:r w:rsidRPr="005D66F5">
        <w:rPr>
          <w:rFonts w:cstheme="minorHAnsi"/>
          <w:sz w:val="24"/>
          <w:szCs w:val="24"/>
        </w:rPr>
        <w:t xml:space="preserve"> La loro missione, da sempre, è produrre in qualità 100% italiana.</w:t>
      </w:r>
      <w:r w:rsidR="005D66F5">
        <w:rPr>
          <w:rFonts w:cstheme="minorHAnsi"/>
          <w:sz w:val="24"/>
          <w:szCs w:val="24"/>
        </w:rPr>
        <w:t xml:space="preserve">  Infatti la filosofia di FACAL si esprime con pochi, ma chiari principi che rispecchiano la storia e la tradizione della famiglia. Tuttavia si può sintetizzare </w:t>
      </w:r>
      <w:r w:rsidR="000B1620">
        <w:rPr>
          <w:rFonts w:cstheme="minorHAnsi"/>
          <w:sz w:val="24"/>
          <w:szCs w:val="24"/>
        </w:rPr>
        <w:t xml:space="preserve">nella ricerca di “manifatture di alto pregio Made in </w:t>
      </w:r>
      <w:proofErr w:type="spellStart"/>
      <w:r w:rsidR="000B1620">
        <w:rPr>
          <w:rFonts w:cstheme="minorHAnsi"/>
          <w:sz w:val="24"/>
          <w:szCs w:val="24"/>
        </w:rPr>
        <w:t>Italy</w:t>
      </w:r>
      <w:proofErr w:type="spellEnd"/>
      <w:r w:rsidR="000B1620">
        <w:rPr>
          <w:rFonts w:cstheme="minorHAnsi"/>
          <w:sz w:val="24"/>
          <w:szCs w:val="24"/>
        </w:rPr>
        <w:t xml:space="preserve">, rigorosamente sicure e garantite e sempre corrispondenti alle normative europee di riferimento”. Voi direte, ma perché anche le scale sono sottoposte a Normative europee. </w:t>
      </w:r>
      <w:r w:rsidR="000B1620" w:rsidRPr="000B1620">
        <w:rPr>
          <w:rFonts w:cstheme="minorHAnsi"/>
          <w:sz w:val="24"/>
          <w:szCs w:val="24"/>
        </w:rPr>
        <w:t>Ma certo, forse non sapete che l</w:t>
      </w:r>
      <w:r w:rsidR="000B1620" w:rsidRPr="000B1620">
        <w:rPr>
          <w:rFonts w:cstheme="minorHAnsi"/>
          <w:sz w:val="24"/>
          <w:szCs w:val="24"/>
        </w:rPr>
        <w:t xml:space="preserve">e cadute dall'alto continuano a essere una delle principali cause di decessi e lesioni gravi nel settore delle costruzioni. </w:t>
      </w:r>
      <w:r w:rsidR="000B1620" w:rsidRPr="000B1620">
        <w:rPr>
          <w:rFonts w:cstheme="minorHAnsi"/>
          <w:sz w:val="24"/>
          <w:szCs w:val="24"/>
        </w:rPr>
        <w:t>Inoltre, secondo i dati INAIL  t</w:t>
      </w:r>
      <w:r w:rsidR="000B1620" w:rsidRPr="000B1620">
        <w:rPr>
          <w:rFonts w:eastAsia="Times New Roman" w:cstheme="minorHAnsi"/>
          <w:color w:val="000000"/>
          <w:sz w:val="24"/>
          <w:szCs w:val="24"/>
          <w:lang w:eastAsia="it-IT"/>
        </w:rPr>
        <w:t>ra le cause più frequenti di </w:t>
      </w:r>
      <w:r w:rsidR="000B1620" w:rsidRPr="000B162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caduta da altezza superiore ai 2 metri</w:t>
      </w:r>
      <w:r w:rsidR="000B1620" w:rsidRPr="000B1620">
        <w:rPr>
          <w:rFonts w:eastAsia="Times New Roman" w:cstheme="minorHAnsi"/>
          <w:color w:val="000000"/>
          <w:sz w:val="24"/>
          <w:szCs w:val="24"/>
          <w:lang w:eastAsia="it-IT"/>
        </w:rPr>
        <w:t>, circa il 17% dei casi di infortunio, rientra l’uso non corretto di scale portatili</w:t>
      </w:r>
      <w:r w:rsidR="000B1620" w:rsidRPr="000B1620">
        <w:rPr>
          <w:rFonts w:cstheme="minorHAnsi"/>
          <w:sz w:val="24"/>
          <w:szCs w:val="24"/>
        </w:rPr>
        <w:t>. Incredibile.</w:t>
      </w:r>
    </w:p>
    <w:p w:rsidR="00CD39C7" w:rsidRDefault="00A7321B" w:rsidP="00CD39C7">
      <w:pPr>
        <w:shd w:val="clear" w:color="auto" w:fill="FFFFFF"/>
        <w:spacing w:after="150" w:line="396" w:lineRule="atLeas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Per questo motivo la normativa di riferimento, cioè la EN 131, negli ultimi anni è stata oggetto di revisione. I produttori si sono dovuti adeguare soprattutto per: modifiche del prodotto, modifica dei test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pre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esistenti, restyling delle etichette e dei manuali di utilizzo. </w:t>
      </w:r>
    </w:p>
    <w:p w:rsidR="00CD39C7" w:rsidRPr="00CD39C7" w:rsidRDefault="00CD39C7" w:rsidP="00CD39C7">
      <w:pPr>
        <w:shd w:val="clear" w:color="auto" w:fill="FFFFFF"/>
        <w:spacing w:after="150" w:line="396" w:lineRule="atLeast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Ma cosa dice In Sintesi la </w:t>
      </w:r>
      <w:r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it-IT"/>
        </w:rPr>
        <w:t>NORMA</w:t>
      </w:r>
      <w:r w:rsidRPr="00CD39C7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it-IT"/>
        </w:rPr>
        <w:t xml:space="preserve"> DI RIFERIMENTO</w:t>
      </w:r>
      <w:r>
        <w:rPr>
          <w:rFonts w:eastAsia="Times New Roman" w:cstheme="minorHAnsi"/>
          <w:color w:val="444444"/>
          <w:sz w:val="24"/>
          <w:szCs w:val="24"/>
          <w:u w:val="single"/>
          <w:lang w:eastAsia="it-IT"/>
        </w:rPr>
        <w:t>?</w:t>
      </w:r>
    </w:p>
    <w:p w:rsidR="00CD39C7" w:rsidRPr="00CD39C7" w:rsidRDefault="00CD39C7" w:rsidP="00CD39C7">
      <w:pPr>
        <w:shd w:val="clear" w:color="auto" w:fill="FFFFFF"/>
        <w:spacing w:after="150" w:line="396" w:lineRule="atLeast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D39C7">
        <w:rPr>
          <w:rFonts w:eastAsia="Times New Roman" w:cstheme="minorHAnsi"/>
          <w:color w:val="444444"/>
          <w:sz w:val="24"/>
          <w:szCs w:val="24"/>
          <w:u w:val="single"/>
          <w:lang w:eastAsia="it-IT"/>
        </w:rPr>
        <w:t>EN131</w:t>
      </w:r>
      <w:r w:rsidRPr="00CD39C7">
        <w:rPr>
          <w:rFonts w:eastAsia="Times New Roman" w:cstheme="minorHAnsi"/>
          <w:color w:val="444444"/>
          <w:sz w:val="24"/>
          <w:szCs w:val="24"/>
          <w:lang w:eastAsia="it-IT"/>
        </w:rPr>
        <w:t>: è la norma europea di riferimento per le scale portatili, si divide in 7 parti la prime 3 sono le principali:</w:t>
      </w:r>
    </w:p>
    <w:p w:rsidR="00CD39C7" w:rsidRPr="00CD39C7" w:rsidRDefault="00CD39C7" w:rsidP="00CD39C7">
      <w:pPr>
        <w:shd w:val="clear" w:color="auto" w:fill="FFFFFF"/>
        <w:spacing w:after="150" w:line="396" w:lineRule="atLeast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D39C7">
        <w:rPr>
          <w:rFonts w:eastAsia="Times New Roman" w:cstheme="minorHAnsi"/>
          <w:color w:val="444444"/>
          <w:sz w:val="24"/>
          <w:szCs w:val="24"/>
          <w:lang w:eastAsia="it-IT"/>
        </w:rPr>
        <w:t>EN131-1 descrive le tipologie di scale e le dimensioni obbligatorie per ogni tipologia</w:t>
      </w:r>
    </w:p>
    <w:p w:rsidR="00CD39C7" w:rsidRPr="00CD39C7" w:rsidRDefault="00CD39C7" w:rsidP="00CD39C7">
      <w:pPr>
        <w:shd w:val="clear" w:color="auto" w:fill="FFFFFF"/>
        <w:spacing w:after="150" w:line="396" w:lineRule="atLeast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D39C7">
        <w:rPr>
          <w:rFonts w:eastAsia="Times New Roman" w:cstheme="minorHAnsi"/>
          <w:color w:val="444444"/>
          <w:sz w:val="24"/>
          <w:szCs w:val="24"/>
          <w:lang w:eastAsia="it-IT"/>
        </w:rPr>
        <w:t>EN131-2 descrive i test obbligatori per i prodotti</w:t>
      </w:r>
    </w:p>
    <w:p w:rsidR="00CD39C7" w:rsidRPr="00CD39C7" w:rsidRDefault="00CD39C7" w:rsidP="00CD39C7">
      <w:pPr>
        <w:shd w:val="clear" w:color="auto" w:fill="FFFFFF"/>
        <w:spacing w:after="150" w:line="396" w:lineRule="atLeast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D39C7">
        <w:rPr>
          <w:rFonts w:eastAsia="Times New Roman" w:cstheme="minorHAnsi"/>
          <w:color w:val="444444"/>
          <w:sz w:val="24"/>
          <w:szCs w:val="24"/>
          <w:lang w:eastAsia="it-IT"/>
        </w:rPr>
        <w:t>EN131-3 definisce gli obblighi di marcatura dei prodotti.</w:t>
      </w:r>
    </w:p>
    <w:p w:rsidR="00CD39C7" w:rsidRPr="00CD39C7" w:rsidRDefault="00CD39C7" w:rsidP="00CD39C7">
      <w:pPr>
        <w:shd w:val="clear" w:color="auto" w:fill="FFFFFF"/>
        <w:spacing w:after="150" w:line="396" w:lineRule="atLeast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CD39C7">
        <w:rPr>
          <w:rFonts w:eastAsia="Times New Roman" w:cstheme="minorHAnsi"/>
          <w:color w:val="444444"/>
          <w:sz w:val="24"/>
          <w:szCs w:val="24"/>
          <w:lang w:eastAsia="it-IT"/>
        </w:rPr>
        <w:t>Portata di un prodotto EN131 : 150 KG statici</w:t>
      </w:r>
    </w:p>
    <w:p w:rsidR="005D66F5" w:rsidRDefault="00A7321B" w:rsidP="005D66F5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lastRenderedPageBreak/>
        <w:t xml:space="preserve">Per questo motivo sono stati necessari investimenti importanti da parte di FACAL e acquisisce sempre più valore la loro linea filosofica che recita, lo ripetiamo, tra l’altro, “ </w:t>
      </w:r>
      <w:r>
        <w:rPr>
          <w:rFonts w:cstheme="minorHAnsi"/>
          <w:sz w:val="24"/>
          <w:szCs w:val="24"/>
        </w:rPr>
        <w:t xml:space="preserve">manifatture di alto pregio Made in </w:t>
      </w:r>
      <w:proofErr w:type="spellStart"/>
      <w:r>
        <w:rPr>
          <w:rFonts w:cstheme="minorHAnsi"/>
          <w:sz w:val="24"/>
          <w:szCs w:val="24"/>
        </w:rPr>
        <w:t>Italy</w:t>
      </w:r>
      <w:proofErr w:type="spellEnd"/>
      <w:r>
        <w:rPr>
          <w:rFonts w:cstheme="minorHAnsi"/>
          <w:sz w:val="24"/>
          <w:szCs w:val="24"/>
        </w:rPr>
        <w:t>, rigorosamente sicure e garantite e sempre corrispondenti alle normative europee di riferimento</w:t>
      </w:r>
      <w:r>
        <w:rPr>
          <w:rFonts w:cstheme="minorHAnsi"/>
          <w:sz w:val="24"/>
          <w:szCs w:val="24"/>
        </w:rPr>
        <w:t>”.</w:t>
      </w:r>
      <w:r w:rsidR="0021368B">
        <w:rPr>
          <w:rFonts w:cstheme="minorHAnsi"/>
          <w:sz w:val="24"/>
          <w:szCs w:val="24"/>
        </w:rPr>
        <w:t xml:space="preserve"> Ok, abbiamo capito che produrre scale è una cosa seria, ma ora facciamo i commerciali e vediamo quali sono i prodotti FACAL. Abbiamo tre linee, la Linea Verde-Top di Gamma, La linea Arancio-Professionale e la Linea Blu/Hobbistica/Non professionale.</w:t>
      </w:r>
    </w:p>
    <w:p w:rsidR="0021368B" w:rsidRDefault="002F48A8" w:rsidP="000426E4">
      <w:pPr>
        <w:shd w:val="clear" w:color="auto" w:fill="FFFFFF"/>
        <w:spacing w:before="150" w:after="375" w:line="264" w:lineRule="atLeast"/>
        <w:outlineLvl w:val="1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1A6900"/>
          <w:sz w:val="24"/>
          <w:szCs w:val="24"/>
          <w:lang w:eastAsia="it-IT"/>
        </w:rPr>
        <w:t xml:space="preserve">La linea </w:t>
      </w:r>
      <w:r w:rsidRPr="0021368B">
        <w:rPr>
          <w:rFonts w:eastAsia="Times New Roman" w:cstheme="minorHAnsi"/>
          <w:color w:val="1A6900"/>
          <w:sz w:val="24"/>
          <w:szCs w:val="24"/>
          <w:lang w:eastAsia="it-IT"/>
        </w:rPr>
        <w:t xml:space="preserve"> verde</w:t>
      </w:r>
      <w:r>
        <w:rPr>
          <w:rFonts w:eastAsia="Times New Roman" w:cstheme="minorHAnsi"/>
          <w:color w:val="1A6900"/>
          <w:sz w:val="24"/>
          <w:szCs w:val="24"/>
          <w:lang w:eastAsia="it-IT"/>
        </w:rPr>
        <w:t>, come abbiamo detto è la Top di Gamma</w:t>
      </w:r>
      <w:r w:rsidR="000426E4">
        <w:rPr>
          <w:rFonts w:eastAsia="Times New Roman" w:cstheme="minorHAnsi"/>
          <w:color w:val="1A6900"/>
          <w:sz w:val="24"/>
          <w:szCs w:val="24"/>
          <w:lang w:eastAsia="it-IT"/>
        </w:rPr>
        <w:t xml:space="preserve"> per una Distribuzione professionale. I prodotti sono di alta qualità  e ha c</w:t>
      </w:r>
      <w:r w:rsidR="0021368B" w:rsidRPr="0021368B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aratteristiche produttive innovative: come ad esempio gradini romboidali 30x30 mm, barre stabilizzatrici telescopiche, barre </w:t>
      </w:r>
      <w:proofErr w:type="spellStart"/>
      <w:r w:rsidR="0021368B" w:rsidRPr="0021368B">
        <w:rPr>
          <w:rFonts w:eastAsia="Times New Roman" w:cstheme="minorHAnsi"/>
          <w:color w:val="444444"/>
          <w:sz w:val="24"/>
          <w:szCs w:val="24"/>
          <w:lang w:eastAsia="it-IT"/>
        </w:rPr>
        <w:t>antichiusura</w:t>
      </w:r>
      <w:proofErr w:type="spellEnd"/>
      <w:r w:rsidR="0021368B" w:rsidRPr="0021368B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in alluminio, particolari in nylon anti attrito</w:t>
      </w:r>
      <w:r w:rsidR="000426E4">
        <w:rPr>
          <w:rFonts w:eastAsia="Times New Roman" w:cstheme="minorHAnsi"/>
          <w:color w:val="444444"/>
          <w:sz w:val="24"/>
          <w:szCs w:val="24"/>
          <w:lang w:eastAsia="it-IT"/>
        </w:rPr>
        <w:t>. Inoltre ha pedane ed articolazioni in fusione d’alluminio. E’ adattissima per uso professionale e ha 10 anni di garanzia.</w:t>
      </w:r>
    </w:p>
    <w:p w:rsidR="000426E4" w:rsidRDefault="000426E4" w:rsidP="000426E4">
      <w:pPr>
        <w:shd w:val="clear" w:color="auto" w:fill="FFFFFF"/>
        <w:spacing w:before="150" w:after="375" w:line="264" w:lineRule="atLeast"/>
        <w:outlineLvl w:val="1"/>
        <w:rPr>
          <w:rFonts w:eastAsia="Times New Roman" w:cstheme="minorHAnsi"/>
          <w:bCs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</w:t>
      </w:r>
      <w:r w:rsidRPr="000426E4">
        <w:rPr>
          <w:rFonts w:eastAsia="Times New Roman" w:cstheme="minorHAnsi"/>
          <w:sz w:val="24"/>
          <w:szCs w:val="24"/>
          <w:lang w:eastAsia="it-IT"/>
        </w:rPr>
        <w:t>nche</w:t>
      </w:r>
      <w:r>
        <w:rPr>
          <w:rFonts w:eastAsia="Times New Roman" w:cstheme="minorHAnsi"/>
          <w:sz w:val="24"/>
          <w:szCs w:val="24"/>
          <w:lang w:eastAsia="it-IT"/>
        </w:rPr>
        <w:t xml:space="preserve"> la</w:t>
      </w:r>
      <w:r w:rsidRPr="000426E4">
        <w:rPr>
          <w:rFonts w:eastAsia="Times New Roman" w:cstheme="minorHAnsi"/>
          <w:sz w:val="24"/>
          <w:szCs w:val="24"/>
          <w:lang w:eastAsia="it-IT"/>
        </w:rPr>
        <w:t xml:space="preserve"> linea arancio</w:t>
      </w:r>
      <w:r>
        <w:rPr>
          <w:rFonts w:eastAsia="Times New Roman" w:cstheme="minorHAnsi"/>
          <w:sz w:val="24"/>
          <w:szCs w:val="24"/>
          <w:lang w:eastAsia="it-IT"/>
        </w:rPr>
        <w:t xml:space="preserve"> è una linea professionale. Ha anch’essa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c</w:t>
      </w:r>
      <w:r w:rsidRPr="000426E4">
        <w:rPr>
          <w:rFonts w:eastAsia="Times New Roman" w:cstheme="minorHAnsi"/>
          <w:color w:val="444444"/>
          <w:sz w:val="24"/>
          <w:szCs w:val="24"/>
          <w:lang w:eastAsia="it-IT"/>
        </w:rPr>
        <w:t>aratteristiche produttive innovative: come ad esempio gradini quadri 30x30 mm, barre stabilizzatrici fisse, cinghie di sicurezza, articolazioni in carpenteria</w:t>
      </w:r>
      <w:r>
        <w:rPr>
          <w:rFonts w:eastAsia="Times New Roman" w:cstheme="minorHAnsi"/>
          <w:caps/>
          <w:sz w:val="24"/>
          <w:szCs w:val="24"/>
          <w:lang w:eastAsia="it-IT"/>
        </w:rPr>
        <w:t>. E’ a</w:t>
      </w:r>
      <w:r w:rsidRPr="000426E4">
        <w:rPr>
          <w:rFonts w:eastAsia="Times New Roman" w:cstheme="minorHAnsi"/>
          <w:color w:val="444444"/>
          <w:sz w:val="24"/>
          <w:szCs w:val="24"/>
          <w:lang w:eastAsia="it-IT"/>
        </w:rPr>
        <w:t>datta per uso regolare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, e </w:t>
      </w:r>
      <w:r w:rsidRPr="000426E4">
        <w:rPr>
          <w:rFonts w:eastAsia="Times New Roman" w:cstheme="minorHAnsi"/>
          <w:color w:val="444444"/>
          <w:sz w:val="24"/>
          <w:szCs w:val="24"/>
          <w:lang w:eastAsia="it-IT"/>
        </w:rPr>
        <w:t xml:space="preserve">ha </w:t>
      </w:r>
      <w:r w:rsidRPr="000426E4">
        <w:rPr>
          <w:rFonts w:eastAsia="Times New Roman" w:cstheme="minorHAnsi"/>
          <w:bCs/>
          <w:color w:val="444444"/>
          <w:sz w:val="24"/>
          <w:szCs w:val="24"/>
          <w:lang w:eastAsia="it-IT"/>
        </w:rPr>
        <w:t>5/10 anni di garanzia</w:t>
      </w:r>
      <w:r>
        <w:rPr>
          <w:rFonts w:eastAsia="Times New Roman" w:cstheme="minorHAnsi"/>
          <w:bCs/>
          <w:color w:val="444444"/>
          <w:sz w:val="24"/>
          <w:szCs w:val="24"/>
          <w:lang w:eastAsia="it-IT"/>
        </w:rPr>
        <w:t>.</w:t>
      </w:r>
    </w:p>
    <w:p w:rsidR="000426E4" w:rsidRDefault="000426E4" w:rsidP="000426E4">
      <w:pPr>
        <w:shd w:val="clear" w:color="auto" w:fill="FFFFFF"/>
        <w:spacing w:before="150" w:after="375" w:line="264" w:lineRule="atLeast"/>
        <w:outlineLvl w:val="1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003566"/>
          <w:sz w:val="24"/>
          <w:szCs w:val="24"/>
          <w:lang w:eastAsia="it-IT"/>
        </w:rPr>
        <w:t xml:space="preserve">La </w:t>
      </w:r>
      <w:r w:rsidRPr="000426E4">
        <w:rPr>
          <w:rFonts w:eastAsia="Times New Roman" w:cstheme="minorHAnsi"/>
          <w:color w:val="003566"/>
          <w:sz w:val="24"/>
          <w:szCs w:val="24"/>
          <w:lang w:eastAsia="it-IT"/>
        </w:rPr>
        <w:t>linea blu</w:t>
      </w:r>
      <w:r>
        <w:rPr>
          <w:rFonts w:eastAsia="Times New Roman" w:cstheme="minorHAnsi"/>
          <w:color w:val="003566"/>
          <w:sz w:val="24"/>
          <w:szCs w:val="24"/>
          <w:lang w:eastAsia="it-IT"/>
        </w:rPr>
        <w:t xml:space="preserve"> invece è quella meno professionale anche se sempre di qualità. Infatti ha</w:t>
      </w:r>
      <w:r>
        <w:rPr>
          <w:rFonts w:eastAsia="Times New Roman" w:cstheme="minorHAnsi"/>
          <w:caps/>
          <w:color w:val="003566"/>
          <w:sz w:val="24"/>
          <w:szCs w:val="24"/>
          <w:lang w:eastAsia="it-IT"/>
        </w:rPr>
        <w:t xml:space="preserve"> </w:t>
      </w:r>
      <w:r w:rsidRPr="000426E4">
        <w:rPr>
          <w:rFonts w:eastAsia="Times New Roman" w:cstheme="minorHAnsi"/>
          <w:color w:val="444444"/>
          <w:sz w:val="24"/>
          <w:szCs w:val="24"/>
          <w:lang w:eastAsia="it-IT"/>
        </w:rPr>
        <w:t>gradini quadri 24x24/30x30 mm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, ha facile utilizzo, un ottimo rapporto qualità/prezzo. Viene consigliata per un uso anche non professionale, ma principalmente hobbistico, e ha tra i 2 e i 5 anni di garanzia.</w:t>
      </w:r>
    </w:p>
    <w:p w:rsidR="00AB67AC" w:rsidRPr="000426E4" w:rsidRDefault="00AB67AC" w:rsidP="000426E4">
      <w:pPr>
        <w:shd w:val="clear" w:color="auto" w:fill="FFFFFF"/>
        <w:spacing w:before="150" w:after="375" w:line="264" w:lineRule="atLeast"/>
        <w:outlineLvl w:val="1"/>
        <w:rPr>
          <w:rFonts w:eastAsia="Times New Roman" w:cstheme="minorHAnsi"/>
          <w:caps/>
          <w:color w:val="003566"/>
          <w:sz w:val="24"/>
          <w:szCs w:val="24"/>
          <w:lang w:eastAsia="it-IT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>Noi di LD Ferramenta siamo rivenditori autorizzati FACAL. Considerando che esistono molte tipologie di scale, noi possiamo riassumerne tre categorie principali.  Le scale in appoggio, le scale doppie e le scale trasformabili. Vi risparmiamo una ulteriore spiegazione delle caratteristiche di queste scale, ma vi consigliamo di venirci a trovare nel nostro negozio. E’ il luogo ideale per vedere i nostri prodotti e descrivervi le loro peculiarità e utilizzi. Siamo a Cologno Monzese, in Viale Spagna, 49. Vi aspettiamo.</w:t>
      </w:r>
    </w:p>
    <w:bookmarkEnd w:id="0"/>
    <w:p w:rsidR="000426E4" w:rsidRDefault="000426E4" w:rsidP="000426E4">
      <w:pPr>
        <w:shd w:val="clear" w:color="auto" w:fill="FFFFFF"/>
        <w:spacing w:before="150" w:after="375" w:line="264" w:lineRule="atLeast"/>
        <w:outlineLvl w:val="1"/>
        <w:rPr>
          <w:rFonts w:eastAsia="Times New Roman" w:cstheme="minorHAnsi"/>
          <w:bCs/>
          <w:color w:val="444444"/>
          <w:sz w:val="24"/>
          <w:szCs w:val="24"/>
          <w:lang w:eastAsia="it-IT"/>
        </w:rPr>
      </w:pPr>
    </w:p>
    <w:p w:rsidR="000426E4" w:rsidRPr="000426E4" w:rsidRDefault="000426E4" w:rsidP="000426E4">
      <w:pPr>
        <w:shd w:val="clear" w:color="auto" w:fill="FFFFFF"/>
        <w:spacing w:before="150" w:after="375" w:line="264" w:lineRule="atLeast"/>
        <w:outlineLvl w:val="1"/>
        <w:rPr>
          <w:rFonts w:eastAsia="Times New Roman" w:cstheme="minorHAnsi"/>
          <w:caps/>
          <w:sz w:val="24"/>
          <w:szCs w:val="24"/>
          <w:lang w:eastAsia="it-IT"/>
        </w:rPr>
      </w:pPr>
    </w:p>
    <w:p w:rsidR="000426E4" w:rsidRPr="0021368B" w:rsidRDefault="000426E4" w:rsidP="000426E4">
      <w:pPr>
        <w:shd w:val="clear" w:color="auto" w:fill="FFFFFF"/>
        <w:spacing w:before="150" w:after="375" w:line="264" w:lineRule="atLeast"/>
        <w:outlineLvl w:val="1"/>
        <w:rPr>
          <w:rFonts w:eastAsia="Times New Roman" w:cstheme="minorHAnsi"/>
          <w:caps/>
          <w:color w:val="1A6900"/>
          <w:sz w:val="24"/>
          <w:szCs w:val="24"/>
          <w:lang w:eastAsia="it-IT"/>
        </w:rPr>
      </w:pPr>
    </w:p>
    <w:p w:rsidR="0021368B" w:rsidRDefault="0021368B" w:rsidP="005D66F5">
      <w:pPr>
        <w:rPr>
          <w:rFonts w:cstheme="minorHAnsi"/>
          <w:sz w:val="24"/>
          <w:szCs w:val="24"/>
        </w:rPr>
      </w:pPr>
    </w:p>
    <w:p w:rsidR="0021368B" w:rsidRPr="000B1620" w:rsidRDefault="0021368B" w:rsidP="005D66F5">
      <w:pPr>
        <w:rPr>
          <w:rFonts w:eastAsia="Times New Roman" w:cstheme="minorHAnsi"/>
          <w:sz w:val="24"/>
          <w:szCs w:val="24"/>
          <w:lang w:eastAsia="it-IT"/>
        </w:rPr>
      </w:pPr>
    </w:p>
    <w:p w:rsidR="00885493" w:rsidRPr="00A15CC8" w:rsidRDefault="00885493" w:rsidP="00885493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232323"/>
          <w:sz w:val="24"/>
          <w:szCs w:val="24"/>
          <w:lang w:eastAsia="it-IT"/>
        </w:rPr>
      </w:pPr>
      <w:r w:rsidRPr="00A15CC8">
        <w:rPr>
          <w:rFonts w:ascii="Helvetica" w:eastAsia="Times New Roman" w:hAnsi="Helvetica" w:cs="Helvetica"/>
          <w:color w:val="232323"/>
          <w:sz w:val="24"/>
          <w:szCs w:val="24"/>
          <w:lang w:eastAsia="it-IT"/>
        </w:rPr>
        <w:t>.</w:t>
      </w:r>
    </w:p>
    <w:p w:rsidR="00885493" w:rsidRDefault="00885493" w:rsidP="00B97054">
      <w:pPr>
        <w:shd w:val="clear" w:color="auto" w:fill="FFFFFF"/>
        <w:spacing w:after="225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</w:p>
    <w:sectPr w:rsidR="00885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D86"/>
    <w:multiLevelType w:val="multilevel"/>
    <w:tmpl w:val="BC9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943C0"/>
    <w:multiLevelType w:val="multilevel"/>
    <w:tmpl w:val="A25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15E91"/>
    <w:multiLevelType w:val="multilevel"/>
    <w:tmpl w:val="44FA8FE8"/>
    <w:lvl w:ilvl="0">
      <w:start w:val="1"/>
      <w:numFmt w:val="bullet"/>
      <w:lvlText w:val=""/>
      <w:lvlJc w:val="left"/>
      <w:pPr>
        <w:tabs>
          <w:tab w:val="num" w:pos="7306"/>
        </w:tabs>
        <w:ind w:left="73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026"/>
        </w:tabs>
        <w:ind w:left="80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746"/>
        </w:tabs>
        <w:ind w:left="87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66"/>
        </w:tabs>
        <w:ind w:left="94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186"/>
        </w:tabs>
        <w:ind w:left="101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06"/>
        </w:tabs>
        <w:ind w:left="109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626"/>
        </w:tabs>
        <w:ind w:left="116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346"/>
        </w:tabs>
        <w:ind w:left="123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066"/>
        </w:tabs>
        <w:ind w:left="13066" w:hanging="360"/>
      </w:pPr>
      <w:rPr>
        <w:rFonts w:ascii="Wingdings" w:hAnsi="Wingdings" w:hint="default"/>
        <w:sz w:val="20"/>
      </w:rPr>
    </w:lvl>
  </w:abstractNum>
  <w:abstractNum w:abstractNumId="3">
    <w:nsid w:val="6D0E7C76"/>
    <w:multiLevelType w:val="multilevel"/>
    <w:tmpl w:val="25D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D"/>
    <w:rsid w:val="000426E4"/>
    <w:rsid w:val="000B1620"/>
    <w:rsid w:val="0021368B"/>
    <w:rsid w:val="002F48A8"/>
    <w:rsid w:val="005D66F5"/>
    <w:rsid w:val="007552FD"/>
    <w:rsid w:val="00792F78"/>
    <w:rsid w:val="00863DB5"/>
    <w:rsid w:val="00877CCD"/>
    <w:rsid w:val="00885493"/>
    <w:rsid w:val="00A7321B"/>
    <w:rsid w:val="00AA308F"/>
    <w:rsid w:val="00AB67AC"/>
    <w:rsid w:val="00B97054"/>
    <w:rsid w:val="00C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5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5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2021-08-03T16:45:00Z</dcterms:created>
  <dcterms:modified xsi:type="dcterms:W3CDTF">2021-08-03T17:59:00Z</dcterms:modified>
</cp:coreProperties>
</file>